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426" w:type="dxa"/>
        <w:tblCellMar>
          <w:left w:w="0" w:type="dxa"/>
          <w:right w:w="0" w:type="dxa"/>
        </w:tblCellMar>
        <w:tblLook w:val="04A0" w:firstRow="1" w:lastRow="0" w:firstColumn="1" w:lastColumn="0" w:noHBand="0" w:noVBand="1"/>
      </w:tblPr>
      <w:tblGrid>
        <w:gridCol w:w="3594"/>
        <w:gridCol w:w="6188"/>
      </w:tblGrid>
      <w:tr w:rsidR="003E22D0" w14:paraId="052A2DA8" w14:textId="77777777" w:rsidTr="008C2D03">
        <w:trPr>
          <w:trHeight w:val="1087"/>
        </w:trPr>
        <w:tc>
          <w:tcPr>
            <w:tcW w:w="3594" w:type="dxa"/>
            <w:tcMar>
              <w:top w:w="0" w:type="dxa"/>
              <w:left w:w="108" w:type="dxa"/>
              <w:bottom w:w="0" w:type="dxa"/>
              <w:right w:w="108" w:type="dxa"/>
            </w:tcMar>
          </w:tcPr>
          <w:p w14:paraId="6A048E5B" w14:textId="77777777" w:rsidR="003E22D0" w:rsidRPr="007D2946" w:rsidRDefault="003E22D0" w:rsidP="008C2D03">
            <w:pPr>
              <w:jc w:val="center"/>
              <w:rPr>
                <w:b/>
                <w:sz w:val="26"/>
                <w:szCs w:val="26"/>
              </w:rPr>
            </w:pPr>
            <w:r w:rsidRPr="007D2946">
              <w:rPr>
                <w:b/>
                <w:sz w:val="26"/>
                <w:szCs w:val="26"/>
              </w:rPr>
              <w:t>ỦY BAN NHÂN DÂN</w:t>
            </w:r>
          </w:p>
          <w:p w14:paraId="4BD628B4" w14:textId="77777777" w:rsidR="003E22D0" w:rsidRPr="007D2946" w:rsidRDefault="003E22D0" w:rsidP="008C2D03">
            <w:pPr>
              <w:jc w:val="center"/>
              <w:rPr>
                <w:b/>
                <w:sz w:val="26"/>
                <w:szCs w:val="26"/>
              </w:rPr>
            </w:pPr>
            <w:r w:rsidRPr="007D2946">
              <w:rPr>
                <w:b/>
                <w:sz w:val="26"/>
                <w:szCs w:val="26"/>
              </w:rPr>
              <w:t>TỈNH TÂY NINH</w:t>
            </w:r>
          </w:p>
          <w:p w14:paraId="71E44D97" w14:textId="77777777" w:rsidR="003E22D0" w:rsidRPr="007D2946" w:rsidRDefault="003E22D0" w:rsidP="008C2D03">
            <w:pPr>
              <w:jc w:val="center"/>
              <w:rPr>
                <w:b/>
                <w:sz w:val="26"/>
                <w:szCs w:val="26"/>
              </w:rPr>
            </w:pPr>
            <w:r>
              <w:rPr>
                <w:noProof/>
                <w:sz w:val="26"/>
                <w:szCs w:val="26"/>
              </w:rPr>
              <mc:AlternateContent>
                <mc:Choice Requires="wps">
                  <w:drawing>
                    <wp:anchor distT="4294967294" distB="4294967294" distL="114300" distR="114300" simplePos="0" relativeHeight="251661312" behindDoc="0" locked="0" layoutInCell="1" allowOverlap="1" wp14:anchorId="51450148" wp14:editId="5F4EF6BA">
                      <wp:simplePos x="0" y="0"/>
                      <wp:positionH relativeFrom="column">
                        <wp:posOffset>674370</wp:posOffset>
                      </wp:positionH>
                      <wp:positionV relativeFrom="paragraph">
                        <wp:posOffset>53974</wp:posOffset>
                      </wp:positionV>
                      <wp:extent cx="762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8843CC4"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4.25pt" to="113.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GYGwIAADU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"/>
                  </w:pict>
                </mc:Fallback>
              </mc:AlternateContent>
            </w:r>
          </w:p>
          <w:p w14:paraId="5E818FA4" w14:textId="77777777" w:rsidR="003E22D0" w:rsidRPr="007D2946" w:rsidRDefault="003E22D0" w:rsidP="008C2D03">
            <w:pPr>
              <w:jc w:val="center"/>
              <w:rPr>
                <w:b/>
                <w:sz w:val="26"/>
                <w:szCs w:val="26"/>
              </w:rPr>
            </w:pPr>
            <w:r w:rsidRPr="007D2946">
              <w:rPr>
                <w:sz w:val="26"/>
                <w:szCs w:val="26"/>
              </w:rPr>
              <w:t>Số:        /QĐ-UBND</w:t>
            </w:r>
          </w:p>
        </w:tc>
        <w:tc>
          <w:tcPr>
            <w:tcW w:w="6188" w:type="dxa"/>
            <w:tcMar>
              <w:top w:w="0" w:type="dxa"/>
              <w:left w:w="108" w:type="dxa"/>
              <w:bottom w:w="0" w:type="dxa"/>
              <w:right w:w="108" w:type="dxa"/>
            </w:tcMar>
          </w:tcPr>
          <w:p w14:paraId="2B707519" w14:textId="77777777" w:rsidR="003E22D0" w:rsidRPr="007D2946" w:rsidRDefault="003E22D0" w:rsidP="008C2D03">
            <w:pPr>
              <w:jc w:val="center"/>
              <w:rPr>
                <w:b/>
                <w:bCs/>
                <w:sz w:val="26"/>
                <w:szCs w:val="26"/>
              </w:rPr>
            </w:pPr>
            <w:r w:rsidRPr="007D2946">
              <w:rPr>
                <w:b/>
                <w:sz w:val="26"/>
                <w:szCs w:val="26"/>
              </w:rPr>
              <w:t>CỘNG HÒA XÃ HỘI CHỦ NGHĨA VIỆT NAM</w:t>
            </w:r>
            <w:r w:rsidRPr="007D2946">
              <w:rPr>
                <w:sz w:val="26"/>
                <w:szCs w:val="26"/>
              </w:rPr>
              <w:br/>
            </w:r>
            <w:r w:rsidRPr="007D2946">
              <w:rPr>
                <w:b/>
                <w:bCs/>
                <w:sz w:val="26"/>
                <w:szCs w:val="26"/>
              </w:rPr>
              <w:t>Độc lập - Tự do - Hạnh phúc</w:t>
            </w:r>
          </w:p>
          <w:p w14:paraId="144916DA" w14:textId="77777777" w:rsidR="003E22D0" w:rsidRPr="007D2946" w:rsidRDefault="003E22D0" w:rsidP="008C2D03">
            <w:pPr>
              <w:jc w:val="center"/>
              <w:rPr>
                <w:i/>
                <w:iCs/>
                <w:sz w:val="26"/>
                <w:szCs w:val="26"/>
              </w:rPr>
            </w:pPr>
            <w:r>
              <w:rPr>
                <w:noProof/>
                <w:sz w:val="26"/>
                <w:szCs w:val="26"/>
              </w:rPr>
              <mc:AlternateContent>
                <mc:Choice Requires="wps">
                  <w:drawing>
                    <wp:anchor distT="4294967294" distB="4294967294" distL="114300" distR="114300" simplePos="0" relativeHeight="251662336" behindDoc="0" locked="0" layoutInCell="1" allowOverlap="1" wp14:anchorId="735C3A06" wp14:editId="342AED12">
                      <wp:simplePos x="0" y="0"/>
                      <wp:positionH relativeFrom="column">
                        <wp:posOffset>821055</wp:posOffset>
                      </wp:positionH>
                      <wp:positionV relativeFrom="paragraph">
                        <wp:posOffset>20319</wp:posOffset>
                      </wp:positionV>
                      <wp:extent cx="2151380" cy="0"/>
                      <wp:effectExtent l="0" t="0" r="2032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C934218"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65pt,1.6pt" to="234.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XK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"/>
                  </w:pict>
                </mc:Fallback>
              </mc:AlternateContent>
            </w:r>
          </w:p>
          <w:p w14:paraId="52FE69B5" w14:textId="77777777" w:rsidR="003E22D0" w:rsidRPr="00AE73B4" w:rsidRDefault="003E22D0" w:rsidP="008C2D03">
            <w:pPr>
              <w:jc w:val="center"/>
              <w:rPr>
                <w:szCs w:val="28"/>
              </w:rPr>
            </w:pPr>
            <w:r w:rsidRPr="00AE73B4">
              <w:rPr>
                <w:i/>
                <w:iCs/>
                <w:szCs w:val="28"/>
              </w:rPr>
              <w:t>Tây Ni</w:t>
            </w:r>
            <w:r w:rsidR="00714DA5">
              <w:rPr>
                <w:i/>
                <w:iCs/>
                <w:szCs w:val="28"/>
              </w:rPr>
              <w:t>nh, ngày      tháng     năm 2024</w:t>
            </w:r>
          </w:p>
        </w:tc>
      </w:tr>
    </w:tbl>
    <w:p w14:paraId="5D2DEE3D" w14:textId="77777777" w:rsidR="003E22D0" w:rsidRPr="005C009B" w:rsidRDefault="003E22D0" w:rsidP="003E22D0"/>
    <w:p w14:paraId="46198D53" w14:textId="77777777" w:rsidR="003E22D0" w:rsidRPr="008F2AAF" w:rsidRDefault="003E22D0" w:rsidP="003E22D0">
      <w:pPr>
        <w:pStyle w:val="Heading2"/>
        <w:spacing w:before="0"/>
        <w:jc w:val="center"/>
        <w:rPr>
          <w:rFonts w:ascii="Times New Roman" w:hAnsi="Times New Roman" w:cs="Times New Roman"/>
          <w:color w:val="auto"/>
          <w:sz w:val="28"/>
        </w:rPr>
      </w:pPr>
      <w:r w:rsidRPr="008F2AAF">
        <w:rPr>
          <w:rFonts w:ascii="Times New Roman" w:hAnsi="Times New Roman" w:cs="Times New Roman"/>
          <w:color w:val="auto"/>
          <w:sz w:val="28"/>
        </w:rPr>
        <w:t>QUYẾT ĐỊNH</w:t>
      </w:r>
    </w:p>
    <w:p w14:paraId="5D4F89F5" w14:textId="77777777" w:rsidR="003E22D0" w:rsidRPr="008F2AAF" w:rsidRDefault="003E22D0" w:rsidP="003E22D0">
      <w:pPr>
        <w:jc w:val="center"/>
        <w:rPr>
          <w:rFonts w:cs="Times New Roman"/>
          <w:b/>
          <w:bCs/>
          <w:szCs w:val="28"/>
        </w:rPr>
      </w:pPr>
      <w:r w:rsidRPr="008F2AAF">
        <w:rPr>
          <w:rFonts w:cs="Times New Roman"/>
          <w:b/>
          <w:bCs/>
        </w:rPr>
        <w:t xml:space="preserve">Ban hành Quy định chức năng, nhiệm vụ, quyền hạn và cơ cấu tổ chức </w:t>
      </w:r>
    </w:p>
    <w:p w14:paraId="4F6C6FEB" w14:textId="77777777" w:rsidR="003E22D0" w:rsidRPr="008F2AAF" w:rsidRDefault="003E22D0" w:rsidP="003E22D0">
      <w:pPr>
        <w:shd w:val="clear" w:color="auto" w:fill="FFFFFF"/>
        <w:jc w:val="center"/>
        <w:rPr>
          <w:rFonts w:cs="Times New Roman"/>
          <w:b/>
          <w:bCs/>
          <w:lang w:eastAsia="vi-VN"/>
        </w:rPr>
      </w:pPr>
      <w:r w:rsidRPr="008F2AAF">
        <w:rPr>
          <w:rFonts w:cs="Times New Roman"/>
          <w:b/>
          <w:bCs/>
        </w:rPr>
        <w:t xml:space="preserve">của </w:t>
      </w:r>
      <w:r w:rsidRPr="008F2AAF">
        <w:rPr>
          <w:rFonts w:cs="Times New Roman"/>
          <w:b/>
          <w:bCs/>
          <w:lang w:eastAsia="vi-VN"/>
        </w:rPr>
        <w:t xml:space="preserve">Bệnh viện </w:t>
      </w:r>
      <w:r>
        <w:rPr>
          <w:rFonts w:cs="Times New Roman"/>
          <w:b/>
          <w:bCs/>
          <w:lang w:eastAsia="vi-VN"/>
        </w:rPr>
        <w:t>đa khoa</w:t>
      </w:r>
      <w:r w:rsidRPr="008F2AAF">
        <w:rPr>
          <w:rFonts w:cs="Times New Roman"/>
          <w:b/>
          <w:bCs/>
          <w:lang w:eastAsia="vi-VN"/>
        </w:rPr>
        <w:t xml:space="preserve"> tỉnh Tây Ninh</w:t>
      </w:r>
      <w:r>
        <w:rPr>
          <w:rFonts w:cs="Times New Roman"/>
          <w:b/>
          <w:bCs/>
          <w:lang w:eastAsia="vi-VN"/>
        </w:rPr>
        <w:t xml:space="preserve"> </w:t>
      </w:r>
      <w:r w:rsidRPr="008F2AAF">
        <w:rPr>
          <w:rFonts w:cs="Times New Roman"/>
          <w:b/>
          <w:bCs/>
          <w:lang w:eastAsia="vi-VN"/>
        </w:rPr>
        <w:t>trực thuộc Sở Y tế</w:t>
      </w:r>
    </w:p>
    <w:p w14:paraId="0E0E6423" w14:textId="77777777" w:rsidR="003E22D0" w:rsidRPr="008F2AAF" w:rsidRDefault="003E22D0" w:rsidP="003E22D0">
      <w:pPr>
        <w:jc w:val="center"/>
        <w:rPr>
          <w:rFonts w:cs="Times New Roman"/>
        </w:rPr>
      </w:pPr>
      <w:r>
        <w:rPr>
          <w:rFonts w:cs="Times New Roman"/>
          <w:noProof/>
        </w:rPr>
        <mc:AlternateContent>
          <mc:Choice Requires="wps">
            <w:drawing>
              <wp:anchor distT="4294967295" distB="4294967295" distL="114300" distR="114300" simplePos="0" relativeHeight="251659264" behindDoc="0" locked="0" layoutInCell="1" allowOverlap="1" wp14:anchorId="6DD58CCD" wp14:editId="34877654">
                <wp:simplePos x="0" y="0"/>
                <wp:positionH relativeFrom="column">
                  <wp:posOffset>2181225</wp:posOffset>
                </wp:positionH>
                <wp:positionV relativeFrom="paragraph">
                  <wp:posOffset>41274</wp:posOffset>
                </wp:positionV>
                <wp:extent cx="1600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5601092"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75pt,3.25pt" to="297.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"/>
            </w:pict>
          </mc:Fallback>
        </mc:AlternateContent>
      </w:r>
    </w:p>
    <w:p w14:paraId="59245D6B" w14:textId="77777777" w:rsidR="003E22D0" w:rsidRPr="008F2AAF" w:rsidRDefault="003E22D0" w:rsidP="003E22D0">
      <w:pPr>
        <w:pStyle w:val="Heading3"/>
        <w:spacing w:before="120" w:after="120"/>
        <w:jc w:val="center"/>
        <w:rPr>
          <w:rFonts w:ascii="Times New Roman" w:hAnsi="Times New Roman" w:cs="Times New Roman"/>
          <w:color w:val="auto"/>
          <w:szCs w:val="28"/>
        </w:rPr>
      </w:pPr>
      <w:r w:rsidRPr="008F2AAF">
        <w:rPr>
          <w:rFonts w:ascii="Times New Roman" w:hAnsi="Times New Roman" w:cs="Times New Roman"/>
          <w:color w:val="auto"/>
          <w:szCs w:val="28"/>
        </w:rPr>
        <w:t>CHỦ TỊCH ỦY BAN NHÂN DÂN TỈNH TÂY NINH</w:t>
      </w:r>
    </w:p>
    <w:p w14:paraId="6320AF61" w14:textId="77777777" w:rsidR="003E22D0" w:rsidRPr="008F2AAF" w:rsidRDefault="003E22D0" w:rsidP="003E22D0">
      <w:pPr>
        <w:rPr>
          <w:sz w:val="14"/>
          <w:szCs w:val="28"/>
        </w:rPr>
      </w:pPr>
    </w:p>
    <w:p w14:paraId="77F51073" w14:textId="77777777" w:rsidR="003E22D0" w:rsidRPr="0095685C" w:rsidRDefault="003E22D0" w:rsidP="003E22D0">
      <w:pPr>
        <w:pStyle w:val="NormalWeb"/>
        <w:shd w:val="clear" w:color="auto" w:fill="FFFFFF"/>
        <w:spacing w:before="80" w:beforeAutospacing="0" w:after="0" w:afterAutospacing="0"/>
        <w:ind w:firstLine="720"/>
        <w:rPr>
          <w:rFonts w:ascii="Times New Roman" w:hAnsi="Times New Roman" w:cs="Times New Roman"/>
          <w:i/>
          <w:sz w:val="28"/>
          <w:szCs w:val="28"/>
        </w:rPr>
      </w:pPr>
      <w:r w:rsidRPr="0095685C">
        <w:rPr>
          <w:rFonts w:ascii="Times New Roman" w:hAnsi="Times New Roman" w:cs="Times New Roman"/>
          <w:i/>
          <w:sz w:val="28"/>
          <w:szCs w:val="28"/>
          <w:lang w:val="vi-VN"/>
        </w:rPr>
        <w:t>Căn cứ Luật Tổ chức chính quyền địa phương ngày 19 tháng 6 năm 2015;</w:t>
      </w:r>
    </w:p>
    <w:p w14:paraId="0F85016B" w14:textId="77777777" w:rsidR="003E22D0" w:rsidRDefault="003E22D0" w:rsidP="003E22D0">
      <w:pPr>
        <w:spacing w:before="80"/>
        <w:ind w:firstLine="720"/>
        <w:jc w:val="both"/>
        <w:rPr>
          <w:i/>
          <w:iCs/>
        </w:rPr>
      </w:pPr>
      <w:r>
        <w:rPr>
          <w:i/>
          <w:iCs/>
        </w:rPr>
        <w:t>Căn cứ Luật sửa đổi, bổ sung một số điều của Luật Tổ chức Chính phủ và Luật Tổ chức chính quyền địa phương ngày 22 tháng 11 năm 2019;</w:t>
      </w:r>
    </w:p>
    <w:p w14:paraId="7C94203D" w14:textId="44EC56E1" w:rsidR="003E22D0" w:rsidRPr="00A9398F" w:rsidRDefault="003E22D0" w:rsidP="003E22D0">
      <w:pPr>
        <w:spacing w:before="60"/>
        <w:ind w:firstLine="720"/>
        <w:jc w:val="both"/>
        <w:rPr>
          <w:i/>
          <w:iCs/>
        </w:rPr>
      </w:pPr>
      <w:r w:rsidRPr="004450A1">
        <w:rPr>
          <w:i/>
          <w:szCs w:val="28"/>
        </w:rPr>
        <w:t>Căn cứ Nghị</w:t>
      </w:r>
      <w:r>
        <w:rPr>
          <w:i/>
          <w:szCs w:val="28"/>
        </w:rPr>
        <w:t xml:space="preserve"> định số 120/2020/NĐ-CP ngày 07 tháng10 năm </w:t>
      </w:r>
      <w:r w:rsidRPr="004450A1">
        <w:rPr>
          <w:i/>
          <w:szCs w:val="28"/>
        </w:rPr>
        <w:t xml:space="preserve">2020 của Chính </w:t>
      </w:r>
      <w:proofErr w:type="gramStart"/>
      <w:r w:rsidRPr="004450A1">
        <w:rPr>
          <w:i/>
          <w:szCs w:val="28"/>
        </w:rPr>
        <w:t>phủ</w:t>
      </w:r>
      <w:r w:rsidR="00F7466B">
        <w:rPr>
          <w:i/>
          <w:szCs w:val="28"/>
        </w:rPr>
        <w:t xml:space="preserve"> </w:t>
      </w:r>
      <w:r w:rsidRPr="004450A1">
        <w:rPr>
          <w:i/>
          <w:szCs w:val="28"/>
        </w:rPr>
        <w:t xml:space="preserve"> Quy</w:t>
      </w:r>
      <w:proofErr w:type="gramEnd"/>
      <w:r w:rsidRPr="004450A1">
        <w:rPr>
          <w:i/>
          <w:szCs w:val="28"/>
        </w:rPr>
        <w:t xml:space="preserve"> định </w:t>
      </w:r>
      <w:r w:rsidR="00F7466B">
        <w:rPr>
          <w:i/>
          <w:szCs w:val="28"/>
        </w:rPr>
        <w:t xml:space="preserve">về </w:t>
      </w:r>
      <w:r w:rsidRPr="004450A1">
        <w:rPr>
          <w:i/>
          <w:szCs w:val="28"/>
        </w:rPr>
        <w:t>thành lập, tổ chức lại, giải thể đơn vị sự nghiệp công lập;</w:t>
      </w:r>
    </w:p>
    <w:p w14:paraId="59A5B11B" w14:textId="77777777" w:rsidR="003E22D0" w:rsidRDefault="003E22D0" w:rsidP="003E22D0">
      <w:pPr>
        <w:spacing w:before="60"/>
        <w:ind w:firstLine="720"/>
        <w:jc w:val="both"/>
        <w:rPr>
          <w:i/>
        </w:rPr>
      </w:pPr>
      <w:r>
        <w:rPr>
          <w:i/>
        </w:rPr>
        <w:t>Căn cứ Nghị định số 60/2021/NĐ-CP ngày 21 tháng 6 năm 2021 của Chính phủ quy định cơ chế tự chủ tài chính của đơn vị sự nghiệp công lập;</w:t>
      </w:r>
    </w:p>
    <w:p w14:paraId="448836D8" w14:textId="77777777" w:rsidR="003E22D0" w:rsidRDefault="003E22D0" w:rsidP="003E22D0">
      <w:pPr>
        <w:spacing w:before="60"/>
        <w:ind w:firstLine="720"/>
        <w:jc w:val="both"/>
        <w:rPr>
          <w:bCs/>
          <w:i/>
          <w:lang w:val="nl-NL"/>
        </w:rPr>
      </w:pPr>
      <w:r>
        <w:rPr>
          <w:bCs/>
          <w:i/>
          <w:lang w:val="nl-NL"/>
        </w:rPr>
        <w:t>Căn cứ Thông tư số 03/2023/TT-BYT, ngày 17 tháng 02 năm 2023 của Bộ trưởng Bộ Y tế hướng dẫn vị trí việc làm, định mức số lượng người làm việc, cơ cấu viên chức theo chức danh nghề nghiệp trong đơn vị sự nghiệp công lập;</w:t>
      </w:r>
    </w:p>
    <w:p w14:paraId="38ACD4BC" w14:textId="77777777" w:rsidR="00A845A1" w:rsidRDefault="003E22D0" w:rsidP="00A845A1">
      <w:pPr>
        <w:spacing w:before="60"/>
        <w:ind w:firstLine="720"/>
        <w:jc w:val="both"/>
        <w:rPr>
          <w:bCs/>
          <w:i/>
          <w:lang w:val="nl-NL"/>
        </w:rPr>
      </w:pPr>
      <w:r w:rsidRPr="000B629F">
        <w:rPr>
          <w:i/>
          <w:szCs w:val="28"/>
          <w:lang w:val="nl-NL"/>
        </w:rPr>
        <w:t>Căn cứ Quy chế bệnh viện (ban hành theo Quyết định số 1985/1997/QĐ-</w:t>
      </w:r>
      <w:r>
        <w:rPr>
          <w:i/>
          <w:szCs w:val="28"/>
          <w:lang w:val="nl-NL"/>
        </w:rPr>
        <w:t>BYT, ngày 19 tháng 9 năm 1997 của Bộ trưởng Bộ Y tế)</w:t>
      </w:r>
      <w:r w:rsidRPr="000B629F">
        <w:rPr>
          <w:i/>
          <w:szCs w:val="28"/>
          <w:lang w:val="nl-NL"/>
        </w:rPr>
        <w:t>;</w:t>
      </w:r>
    </w:p>
    <w:p w14:paraId="596A0916" w14:textId="77777777" w:rsidR="00A845A1" w:rsidRPr="00A845A1" w:rsidRDefault="00A845A1" w:rsidP="00A845A1">
      <w:pPr>
        <w:spacing w:before="60"/>
        <w:ind w:firstLine="720"/>
        <w:jc w:val="both"/>
        <w:rPr>
          <w:bCs/>
          <w:i/>
          <w:lang w:val="nl-NL"/>
        </w:rPr>
      </w:pPr>
      <w:r w:rsidRPr="00AC3A24">
        <w:rPr>
          <w:i/>
          <w:color w:val="000000" w:themeColor="text1"/>
          <w:szCs w:val="28"/>
          <w:lang w:val="nl-NL"/>
        </w:rPr>
        <w:t xml:space="preserve">Căn cứ </w:t>
      </w:r>
      <w:r>
        <w:rPr>
          <w:i/>
          <w:color w:val="000000" w:themeColor="text1"/>
          <w:szCs w:val="28"/>
          <w:lang w:val="nl-NL"/>
        </w:rPr>
        <w:t xml:space="preserve">Đề án số 05-ĐA/TU ngày 17 tháng 01 năm </w:t>
      </w:r>
      <w:r w:rsidRPr="00AC3A24">
        <w:rPr>
          <w:rFonts w:cs="Times New Roman"/>
          <w:i/>
          <w:color w:val="000000" w:themeColor="text1"/>
          <w:szCs w:val="28"/>
          <w:lang w:val="nl-NL"/>
        </w:rPr>
        <w:t>2019 của Ban Thường vụ Tỉnh ủy sắp xếp tổ chức bộ máy, đổi mới cơ chế hoạt động của Ban Bảo vệ, chăm sóc sức khỏe cán bộ;</w:t>
      </w:r>
    </w:p>
    <w:p w14:paraId="53EB7432" w14:textId="77777777" w:rsidR="00714DA5" w:rsidRPr="00272805" w:rsidRDefault="00714DA5" w:rsidP="00714DA5">
      <w:pPr>
        <w:pStyle w:val="BodyText"/>
        <w:spacing w:before="60" w:after="0"/>
        <w:ind w:right="15" w:firstLine="720"/>
        <w:jc w:val="both"/>
        <w:rPr>
          <w:i/>
          <w:sz w:val="28"/>
          <w:szCs w:val="28"/>
          <w:lang w:val="nl-NL"/>
        </w:rPr>
      </w:pPr>
      <w:r w:rsidRPr="00272805">
        <w:rPr>
          <w:i/>
          <w:sz w:val="28"/>
          <w:szCs w:val="28"/>
          <w:lang w:val="nl-NL"/>
        </w:rPr>
        <w:t>Căn cứ Quyết định số 10/2022/QĐ-UBND ngày 05 tháng 4 năm 2022 của UBND tỉnh ban hành Quy định về quản lý tổ chức bộ máy biên chế, cán bộ, công chức, viên chức, người lao động và người quản lý doanh nghiệp thuộc thẩm quyền quản lý của UBND tỉnh Tây Ninh; Quyết định số 40/2023/QĐ-UBND, ngày 18 tháng 12 năm 2023 của UBND tỉnh sửa đổi, bổ sung một số điều của Quy định về quản lý tổ chức bộ máy biên chế cán bộ, công chức, viên chức,</w:t>
      </w:r>
      <w:bookmarkStart w:id="0" w:name="_GoBack"/>
      <w:bookmarkEnd w:id="0"/>
      <w:r w:rsidRPr="00272805">
        <w:rPr>
          <w:i/>
          <w:sz w:val="28"/>
          <w:szCs w:val="28"/>
          <w:lang w:val="nl-NL"/>
        </w:rPr>
        <w:t xml:space="preserve"> người lao động và người quản lý doanh nghiệp thuộc thẩm quyền quản lý của UBND tỉnh Tây Ninh ban hành kèm theo Quyết định số 10/2022/QĐ-UBND, ngày 05/4/2022 của UBND tỉnh Tây Ninh;</w:t>
      </w:r>
    </w:p>
    <w:p w14:paraId="0AD58EE3" w14:textId="3F818051" w:rsidR="003E22D0" w:rsidRPr="00272805" w:rsidRDefault="003E22D0" w:rsidP="003E22D0">
      <w:pPr>
        <w:spacing w:before="80"/>
        <w:ind w:firstLine="720"/>
        <w:jc w:val="both"/>
        <w:rPr>
          <w:i/>
          <w:lang w:val="nl-NL"/>
        </w:rPr>
      </w:pPr>
      <w:r w:rsidRPr="00272805">
        <w:rPr>
          <w:i/>
          <w:iCs/>
          <w:lang w:val="nl-NL"/>
        </w:rPr>
        <w:t xml:space="preserve">Theo đề nghị của Giám đốc Sở Y tế tại Tờ trình số </w:t>
      </w:r>
      <w:r w:rsidR="00C5489B">
        <w:rPr>
          <w:i/>
          <w:iCs/>
          <w:lang w:val="nl-NL"/>
        </w:rPr>
        <w:t>2697</w:t>
      </w:r>
      <w:r w:rsidRPr="00272805">
        <w:rPr>
          <w:i/>
          <w:iCs/>
          <w:lang w:val="nl-NL"/>
        </w:rPr>
        <w:t>/</w:t>
      </w:r>
      <w:r w:rsidR="00714DA5" w:rsidRPr="00272805">
        <w:rPr>
          <w:i/>
          <w:iCs/>
          <w:lang w:val="nl-NL"/>
        </w:rPr>
        <w:t xml:space="preserve">TTr-SYT ngày </w:t>
      </w:r>
      <w:r w:rsidR="00C5489B">
        <w:rPr>
          <w:i/>
          <w:iCs/>
          <w:lang w:val="nl-NL"/>
        </w:rPr>
        <w:t>04</w:t>
      </w:r>
      <w:r w:rsidR="00714DA5" w:rsidRPr="00272805">
        <w:rPr>
          <w:i/>
          <w:iCs/>
          <w:lang w:val="nl-NL"/>
        </w:rPr>
        <w:t xml:space="preserve"> tháng</w:t>
      </w:r>
      <w:r w:rsidR="00C5489B">
        <w:rPr>
          <w:i/>
          <w:iCs/>
          <w:lang w:val="nl-NL"/>
        </w:rPr>
        <w:t xml:space="preserve"> 7</w:t>
      </w:r>
      <w:r w:rsidR="00714DA5" w:rsidRPr="00272805">
        <w:rPr>
          <w:i/>
          <w:iCs/>
          <w:lang w:val="nl-NL"/>
        </w:rPr>
        <w:t xml:space="preserve"> năm 202</w:t>
      </w:r>
      <w:r w:rsidR="00714DA5" w:rsidRPr="00272805">
        <w:rPr>
          <w:bCs/>
          <w:i/>
          <w:lang w:val="nl-NL"/>
        </w:rPr>
        <w:t>4</w:t>
      </w:r>
      <w:r w:rsidR="00317ED1" w:rsidRPr="00272805">
        <w:rPr>
          <w:bCs/>
          <w:i/>
          <w:lang w:val="nl-NL"/>
        </w:rPr>
        <w:t>.</w:t>
      </w:r>
    </w:p>
    <w:p w14:paraId="3DD76372" w14:textId="77777777" w:rsidR="003E22D0" w:rsidRPr="00272805" w:rsidRDefault="003E22D0" w:rsidP="003E22D0">
      <w:pPr>
        <w:spacing w:before="80"/>
        <w:ind w:firstLine="720"/>
        <w:jc w:val="both"/>
        <w:rPr>
          <w:bCs/>
          <w:i/>
          <w:sz w:val="2"/>
          <w:lang w:val="nl-NL"/>
        </w:rPr>
      </w:pPr>
    </w:p>
    <w:p w14:paraId="0B0EE31C" w14:textId="77777777" w:rsidR="003E22D0" w:rsidRPr="00272805" w:rsidRDefault="003E22D0" w:rsidP="003E22D0">
      <w:pPr>
        <w:shd w:val="clear" w:color="auto" w:fill="FFFFFF"/>
        <w:spacing w:before="80"/>
        <w:jc w:val="center"/>
        <w:rPr>
          <w:lang w:val="nl-NL" w:eastAsia="vi-VN"/>
        </w:rPr>
      </w:pPr>
      <w:r w:rsidRPr="00272805">
        <w:rPr>
          <w:b/>
          <w:bCs/>
          <w:lang w:val="nl-NL" w:eastAsia="vi-VN"/>
        </w:rPr>
        <w:t>QUYẾT ĐỊNH:</w:t>
      </w:r>
    </w:p>
    <w:p w14:paraId="552B62B7" w14:textId="77777777" w:rsidR="00A845A1" w:rsidRPr="00272805" w:rsidRDefault="003E22D0" w:rsidP="00714DA5">
      <w:pPr>
        <w:spacing w:before="80"/>
        <w:ind w:firstLine="567"/>
        <w:jc w:val="both"/>
        <w:rPr>
          <w:lang w:val="nl-NL"/>
        </w:rPr>
      </w:pPr>
      <w:r w:rsidRPr="00272805">
        <w:rPr>
          <w:b/>
          <w:lang w:val="nl-NL"/>
        </w:rPr>
        <w:t>Điều 1.</w:t>
      </w:r>
      <w:r w:rsidRPr="00272805">
        <w:rPr>
          <w:lang w:val="nl-NL"/>
        </w:rPr>
        <w:t xml:space="preserve"> Ban hành kèm theo Quyết định này Quy định chức năng, nhiệm vụ, quyền hạn và cơ cấu tổ chức của Bệnh viện đa khoa tỉnh Tây Ninh trực thuộc Sở Y tế.</w:t>
      </w:r>
    </w:p>
    <w:p w14:paraId="7C76F37F" w14:textId="77777777" w:rsidR="003E22D0" w:rsidRPr="00272805" w:rsidRDefault="003E22D0" w:rsidP="00A845A1">
      <w:pPr>
        <w:spacing w:before="80"/>
        <w:ind w:firstLine="567"/>
        <w:jc w:val="both"/>
        <w:rPr>
          <w:lang w:val="nl-NL"/>
        </w:rPr>
      </w:pPr>
      <w:r>
        <w:rPr>
          <w:b/>
          <w:bCs/>
          <w:lang w:val="pt-BR"/>
        </w:rPr>
        <w:lastRenderedPageBreak/>
        <w:t>Điều 2.</w:t>
      </w:r>
      <w:r>
        <w:rPr>
          <w:lang w:val="pt-BR"/>
        </w:rPr>
        <w:t xml:space="preserve"> </w:t>
      </w:r>
      <w:r w:rsidRPr="00272805">
        <w:rPr>
          <w:color w:val="000000"/>
          <w:lang w:val="nl-NL"/>
        </w:rPr>
        <w:t>Quyết định này có hiệu lực thi hành kể từ ngày ký. Bãi bỏ các văn bản có liên quan trái với quy định của Quyết định này.</w:t>
      </w:r>
    </w:p>
    <w:p w14:paraId="7A685A5A" w14:textId="77777777" w:rsidR="003E22D0" w:rsidRDefault="003E22D0" w:rsidP="003E22D0">
      <w:pPr>
        <w:spacing w:before="80"/>
        <w:ind w:firstLine="567"/>
        <w:jc w:val="both"/>
        <w:rPr>
          <w:lang w:val="nl-NL"/>
        </w:rPr>
      </w:pPr>
      <w:r>
        <w:rPr>
          <w:b/>
          <w:bCs/>
          <w:lang w:val="pt-BR"/>
        </w:rPr>
        <w:t xml:space="preserve">Điều 3. </w:t>
      </w:r>
      <w:r w:rsidRPr="00272805">
        <w:rPr>
          <w:lang w:val="nl-NL"/>
        </w:rPr>
        <w:t xml:space="preserve">Chánh Văn phòng Ủy ban nhân dân tỉnh, Giám đốc các Sở: Nội vụ, Y tế, Thủ trưởng các sở, ban, ngành tỉnh; Chủ tịch UBND các huyện, thị xã, thành phố, Giám đốc Bệnh viện đa khoa tỉnh Tây Ninh </w:t>
      </w:r>
      <w:r>
        <w:rPr>
          <w:lang w:val="nl-NL"/>
        </w:rPr>
        <w:t>và các tổ chức, đơn vị có liên quan căn cứ Quyết định thi hành./.</w:t>
      </w:r>
    </w:p>
    <w:p w14:paraId="105F1B6B" w14:textId="77777777" w:rsidR="003E22D0" w:rsidRPr="00272805" w:rsidRDefault="003E22D0" w:rsidP="003E22D0">
      <w:pPr>
        <w:ind w:firstLine="567"/>
        <w:rPr>
          <w:b/>
          <w:bCs/>
          <w:lang w:val="nl-NL"/>
        </w:rPr>
      </w:pPr>
    </w:p>
    <w:tbl>
      <w:tblPr>
        <w:tblW w:w="9311" w:type="dxa"/>
        <w:tblCellMar>
          <w:left w:w="0" w:type="dxa"/>
          <w:right w:w="0" w:type="dxa"/>
        </w:tblCellMar>
        <w:tblLook w:val="04A0" w:firstRow="1" w:lastRow="0" w:firstColumn="1" w:lastColumn="0" w:noHBand="0" w:noVBand="1"/>
      </w:tblPr>
      <w:tblGrid>
        <w:gridCol w:w="4608"/>
        <w:gridCol w:w="4703"/>
      </w:tblGrid>
      <w:tr w:rsidR="003E22D0" w14:paraId="5B18D3FC" w14:textId="77777777" w:rsidTr="008C2D03">
        <w:trPr>
          <w:trHeight w:val="1415"/>
        </w:trPr>
        <w:tc>
          <w:tcPr>
            <w:tcW w:w="4608" w:type="dxa"/>
            <w:tcMar>
              <w:top w:w="0" w:type="dxa"/>
              <w:left w:w="108" w:type="dxa"/>
              <w:bottom w:w="0" w:type="dxa"/>
              <w:right w:w="108" w:type="dxa"/>
            </w:tcMar>
            <w:hideMark/>
          </w:tcPr>
          <w:p w14:paraId="2BABA0EE" w14:textId="77777777" w:rsidR="003E22D0" w:rsidRDefault="003E22D0" w:rsidP="008C2D03">
            <w:pPr>
              <w:rPr>
                <w:b/>
                <w:bCs/>
                <w:i/>
                <w:iCs/>
                <w:sz w:val="23"/>
                <w:szCs w:val="23"/>
                <w:lang w:val="vi-VN"/>
              </w:rPr>
            </w:pPr>
            <w:r>
              <w:rPr>
                <w:b/>
                <w:bCs/>
                <w:i/>
                <w:iCs/>
                <w:sz w:val="23"/>
                <w:szCs w:val="23"/>
                <w:lang w:val="vi-VN"/>
              </w:rPr>
              <w:t> Nơi nhận:</w:t>
            </w:r>
          </w:p>
          <w:p w14:paraId="724981C1" w14:textId="77777777" w:rsidR="003E22D0" w:rsidRPr="00272805" w:rsidRDefault="003E22D0" w:rsidP="008C2D03">
            <w:pPr>
              <w:rPr>
                <w:szCs w:val="28"/>
                <w:lang w:val="vi-VN"/>
              </w:rPr>
            </w:pPr>
            <w:r w:rsidRPr="00272805">
              <w:rPr>
                <w:sz w:val="22"/>
                <w:lang w:val="vi-VN"/>
              </w:rPr>
              <w:t>- Như Điều 3;</w:t>
            </w:r>
            <w:r w:rsidRPr="00272805">
              <w:rPr>
                <w:sz w:val="22"/>
                <w:lang w:val="vi-VN"/>
              </w:rPr>
              <w:br/>
              <w:t>- TT: TU, HĐND tỉnh;</w:t>
            </w:r>
            <w:r w:rsidRPr="00272805">
              <w:rPr>
                <w:sz w:val="22"/>
                <w:lang w:val="vi-VN"/>
              </w:rPr>
              <w:br/>
              <w:t>- CT, các PCT UBND tỉnh;</w:t>
            </w:r>
          </w:p>
          <w:p w14:paraId="0903CB44" w14:textId="77777777" w:rsidR="009E42C2" w:rsidRPr="00272805" w:rsidRDefault="009E42C2" w:rsidP="008C2D03">
            <w:pPr>
              <w:rPr>
                <w:sz w:val="22"/>
                <w:lang w:val="vi-VN"/>
              </w:rPr>
            </w:pPr>
            <w:r w:rsidRPr="00272805">
              <w:rPr>
                <w:sz w:val="22"/>
                <w:lang w:val="vi-VN"/>
              </w:rPr>
              <w:t>- Sở Tư pháp</w:t>
            </w:r>
          </w:p>
          <w:p w14:paraId="31070B80" w14:textId="37945D5D" w:rsidR="003E22D0" w:rsidRPr="003A52FD" w:rsidRDefault="003E22D0" w:rsidP="008C2D03">
            <w:pPr>
              <w:rPr>
                <w:sz w:val="22"/>
                <w:lang w:val="vi-VN"/>
              </w:rPr>
            </w:pPr>
            <w:r w:rsidRPr="00272805">
              <w:rPr>
                <w:sz w:val="22"/>
                <w:lang w:val="vi-VN"/>
              </w:rPr>
              <w:t>- LĐVP;</w:t>
            </w:r>
            <w:r w:rsidR="004054CF">
              <w:rPr>
                <w:sz w:val="22"/>
              </w:rPr>
              <w:t xml:space="preserve"> </w:t>
            </w:r>
            <w:r w:rsidRPr="00272805">
              <w:rPr>
                <w:sz w:val="22"/>
                <w:lang w:val="vi-VN"/>
              </w:rPr>
              <w:t xml:space="preserve">Phòng </w:t>
            </w:r>
            <w:r w:rsidR="003A52FD">
              <w:rPr>
                <w:sz w:val="22"/>
                <w:lang w:val="en-GB"/>
              </w:rPr>
              <w:t>NC</w:t>
            </w:r>
            <w:r w:rsidRPr="00272805">
              <w:rPr>
                <w:sz w:val="22"/>
                <w:lang w:val="vi-VN"/>
              </w:rPr>
              <w:t>;</w:t>
            </w:r>
          </w:p>
          <w:p w14:paraId="76510157" w14:textId="77777777" w:rsidR="003E22D0" w:rsidRDefault="003E22D0" w:rsidP="008C2D03">
            <w:pPr>
              <w:rPr>
                <w:szCs w:val="28"/>
                <w:lang w:val="vi-VN"/>
              </w:rPr>
            </w:pPr>
            <w:r w:rsidRPr="00272805">
              <w:rPr>
                <w:sz w:val="22"/>
                <w:lang w:val="vi-VN"/>
              </w:rPr>
              <w:t xml:space="preserve">- Lưu: VT, VP UBND tỉnh. </w:t>
            </w:r>
          </w:p>
        </w:tc>
        <w:tc>
          <w:tcPr>
            <w:tcW w:w="4703" w:type="dxa"/>
            <w:tcMar>
              <w:top w:w="0" w:type="dxa"/>
              <w:left w:w="108" w:type="dxa"/>
              <w:bottom w:w="0" w:type="dxa"/>
              <w:right w:w="108" w:type="dxa"/>
            </w:tcMar>
          </w:tcPr>
          <w:p w14:paraId="1CAD70A0" w14:textId="77777777" w:rsidR="003E22D0" w:rsidRDefault="003E22D0" w:rsidP="008C2D03">
            <w:pPr>
              <w:jc w:val="center"/>
              <w:rPr>
                <w:b/>
                <w:bCs/>
                <w:szCs w:val="28"/>
                <w:lang w:val="vi-VN"/>
              </w:rPr>
            </w:pPr>
            <w:r>
              <w:rPr>
                <w:b/>
                <w:bCs/>
                <w:lang w:val="vi-VN"/>
              </w:rPr>
              <w:t>CHỦ TỊCH</w:t>
            </w:r>
          </w:p>
          <w:p w14:paraId="44C67414" w14:textId="77777777" w:rsidR="003E22D0" w:rsidRDefault="003E22D0" w:rsidP="008C2D03">
            <w:pPr>
              <w:rPr>
                <w:b/>
                <w:bCs/>
              </w:rPr>
            </w:pPr>
          </w:p>
          <w:p w14:paraId="0C6007D3" w14:textId="77777777" w:rsidR="003E22D0" w:rsidRDefault="003E22D0" w:rsidP="008C2D03">
            <w:pPr>
              <w:rPr>
                <w:szCs w:val="28"/>
                <w:lang w:val="vi-VN"/>
              </w:rPr>
            </w:pPr>
          </w:p>
        </w:tc>
      </w:tr>
    </w:tbl>
    <w:p w14:paraId="62895C70" w14:textId="77777777" w:rsidR="003E22D0" w:rsidRDefault="003E22D0" w:rsidP="003E22D0">
      <w:pPr>
        <w:rPr>
          <w:szCs w:val="28"/>
        </w:rPr>
      </w:pPr>
    </w:p>
    <w:p w14:paraId="4AAC121F" w14:textId="77777777" w:rsidR="003E22D0" w:rsidRDefault="003E22D0" w:rsidP="003E22D0"/>
    <w:p w14:paraId="46401C82" w14:textId="77777777" w:rsidR="003E22D0" w:rsidRDefault="003E22D0" w:rsidP="003E22D0"/>
    <w:p w14:paraId="24927AA0" w14:textId="77777777" w:rsidR="003E22D0" w:rsidRDefault="003E22D0" w:rsidP="003E22D0"/>
    <w:p w14:paraId="227705F9" w14:textId="77777777" w:rsidR="003E22D0" w:rsidRDefault="003E22D0" w:rsidP="003E22D0"/>
    <w:p w14:paraId="4B2CDDA0" w14:textId="77777777" w:rsidR="003E22D0" w:rsidRDefault="003E22D0" w:rsidP="003E22D0"/>
    <w:p w14:paraId="133F177F" w14:textId="77777777" w:rsidR="003E22D0" w:rsidRDefault="003E22D0" w:rsidP="003E22D0"/>
    <w:p w14:paraId="76752AD7" w14:textId="77777777" w:rsidR="003E22D0" w:rsidRDefault="003E22D0" w:rsidP="003E22D0"/>
    <w:p w14:paraId="07F973CB" w14:textId="77777777" w:rsidR="003E22D0" w:rsidRDefault="003E22D0" w:rsidP="003E22D0"/>
    <w:p w14:paraId="07DBE5A0" w14:textId="77777777" w:rsidR="003E22D0" w:rsidRDefault="003E22D0" w:rsidP="003E22D0"/>
    <w:p w14:paraId="1A04EB6B" w14:textId="77777777" w:rsidR="003E22D0" w:rsidRDefault="003E22D0" w:rsidP="003E22D0"/>
    <w:p w14:paraId="49C81581" w14:textId="77777777" w:rsidR="003E22D0" w:rsidRDefault="003E22D0" w:rsidP="003E22D0"/>
    <w:p w14:paraId="1BEDC118" w14:textId="77777777" w:rsidR="003E22D0" w:rsidRDefault="003E22D0" w:rsidP="003E22D0"/>
    <w:p w14:paraId="0B157749" w14:textId="77777777" w:rsidR="003E22D0" w:rsidRDefault="003E22D0" w:rsidP="003E22D0"/>
    <w:p w14:paraId="518DDC86" w14:textId="77777777" w:rsidR="003E22D0" w:rsidRDefault="003E22D0" w:rsidP="003E22D0"/>
    <w:p w14:paraId="4A51D293" w14:textId="77777777" w:rsidR="003E22D0" w:rsidRDefault="003E22D0" w:rsidP="003E22D0"/>
    <w:p w14:paraId="40083FB2" w14:textId="77777777" w:rsidR="003E22D0" w:rsidRDefault="003E22D0" w:rsidP="003E22D0"/>
    <w:p w14:paraId="178077E4" w14:textId="77777777" w:rsidR="003E22D0" w:rsidRDefault="003E22D0" w:rsidP="003E22D0"/>
    <w:p w14:paraId="368432B5" w14:textId="77777777" w:rsidR="003E22D0" w:rsidRDefault="003E22D0" w:rsidP="003E22D0"/>
    <w:p w14:paraId="089A0B2C" w14:textId="77777777" w:rsidR="003E22D0" w:rsidRDefault="003E22D0" w:rsidP="003E22D0"/>
    <w:p w14:paraId="18AB3A0E" w14:textId="77777777" w:rsidR="003E22D0" w:rsidRDefault="003E22D0" w:rsidP="003E22D0"/>
    <w:p w14:paraId="7BDEDEDC" w14:textId="77777777" w:rsidR="003E22D0" w:rsidRDefault="003E22D0" w:rsidP="003E22D0"/>
    <w:p w14:paraId="30188B78" w14:textId="77777777" w:rsidR="003E22D0" w:rsidRDefault="003E22D0" w:rsidP="003E22D0"/>
    <w:p w14:paraId="38AB43A6" w14:textId="77777777" w:rsidR="003E22D0" w:rsidRDefault="003E22D0" w:rsidP="003E22D0"/>
    <w:p w14:paraId="1D4F14F8" w14:textId="77777777" w:rsidR="003E22D0" w:rsidRDefault="003E22D0" w:rsidP="003E22D0"/>
    <w:p w14:paraId="7DE42384" w14:textId="77777777" w:rsidR="003E22D0" w:rsidRDefault="003E22D0" w:rsidP="003E22D0"/>
    <w:p w14:paraId="34336C59" w14:textId="77777777" w:rsidR="003E22D0" w:rsidRDefault="003E22D0" w:rsidP="003E22D0"/>
    <w:p w14:paraId="33D073AA" w14:textId="77777777" w:rsidR="003E22D0" w:rsidRDefault="003E22D0" w:rsidP="003E22D0"/>
    <w:p w14:paraId="5EF218B9" w14:textId="77777777" w:rsidR="003E22D0" w:rsidRDefault="003E22D0" w:rsidP="003E22D0"/>
    <w:p w14:paraId="08AB547E" w14:textId="77777777" w:rsidR="003E22D0" w:rsidRDefault="003E22D0" w:rsidP="003E22D0"/>
    <w:p w14:paraId="2FD50CBD" w14:textId="77777777" w:rsidR="003E22D0" w:rsidRDefault="003E22D0" w:rsidP="003E22D0"/>
    <w:sectPr w:rsidR="003E22D0" w:rsidSect="004054CF">
      <w:headerReference w:type="default" r:id="rId6"/>
      <w:pgSz w:w="11906" w:h="16838"/>
      <w:pgMar w:top="993" w:right="1016" w:bottom="1260" w:left="16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1ED23" w14:textId="77777777" w:rsidR="00842365" w:rsidRDefault="00842365" w:rsidP="003E22D0">
      <w:r>
        <w:separator/>
      </w:r>
    </w:p>
  </w:endnote>
  <w:endnote w:type="continuationSeparator" w:id="0">
    <w:p w14:paraId="0074F6B4" w14:textId="77777777" w:rsidR="00842365" w:rsidRDefault="00842365" w:rsidP="003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853B8" w14:textId="77777777" w:rsidR="00842365" w:rsidRDefault="00842365" w:rsidP="003E22D0">
      <w:r>
        <w:separator/>
      </w:r>
    </w:p>
  </w:footnote>
  <w:footnote w:type="continuationSeparator" w:id="0">
    <w:p w14:paraId="3A1334FB" w14:textId="77777777" w:rsidR="00842365" w:rsidRDefault="00842365" w:rsidP="003E2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025458"/>
      <w:docPartObj>
        <w:docPartGallery w:val="Page Numbers (Top of Page)"/>
        <w:docPartUnique/>
      </w:docPartObj>
    </w:sdtPr>
    <w:sdtEndPr>
      <w:rPr>
        <w:noProof/>
      </w:rPr>
    </w:sdtEndPr>
    <w:sdtContent>
      <w:p w14:paraId="77591497" w14:textId="5ED3B028" w:rsidR="003E22D0" w:rsidRDefault="003E22D0">
        <w:pPr>
          <w:pStyle w:val="Header"/>
          <w:jc w:val="center"/>
        </w:pPr>
        <w:r>
          <w:fldChar w:fldCharType="begin"/>
        </w:r>
        <w:r>
          <w:instrText xml:space="preserve"> PAGE   \* MERGEFORMAT </w:instrText>
        </w:r>
        <w:r>
          <w:fldChar w:fldCharType="separate"/>
        </w:r>
        <w:r w:rsidR="004054CF">
          <w:rPr>
            <w:noProof/>
          </w:rPr>
          <w:t>2</w:t>
        </w:r>
        <w:r>
          <w:rPr>
            <w:noProof/>
          </w:rPr>
          <w:fldChar w:fldCharType="end"/>
        </w:r>
      </w:p>
    </w:sdtContent>
  </w:sdt>
  <w:p w14:paraId="2F77D493" w14:textId="77777777" w:rsidR="003E22D0" w:rsidRDefault="003E22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D0"/>
    <w:rsid w:val="001F4988"/>
    <w:rsid w:val="00272805"/>
    <w:rsid w:val="00317ED1"/>
    <w:rsid w:val="003A52FD"/>
    <w:rsid w:val="003E22D0"/>
    <w:rsid w:val="003F2E1D"/>
    <w:rsid w:val="004054CF"/>
    <w:rsid w:val="00406082"/>
    <w:rsid w:val="00430410"/>
    <w:rsid w:val="00583023"/>
    <w:rsid w:val="00714DA5"/>
    <w:rsid w:val="0083100A"/>
    <w:rsid w:val="00842365"/>
    <w:rsid w:val="0088268C"/>
    <w:rsid w:val="0099031B"/>
    <w:rsid w:val="009E42C2"/>
    <w:rsid w:val="00A845A1"/>
    <w:rsid w:val="00C5489B"/>
    <w:rsid w:val="00C957CF"/>
    <w:rsid w:val="00F7466B"/>
    <w:rsid w:val="00FC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CE38"/>
  <w15:chartTrackingRefBased/>
  <w15:docId w15:val="{27194E22-6388-48E4-809A-344C746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2D0"/>
    <w:pPr>
      <w:spacing w:after="0" w:line="240" w:lineRule="auto"/>
    </w:pPr>
    <w:rPr>
      <w:rFonts w:ascii="Times New Roman" w:hAnsi="Times New Roman"/>
      <w:sz w:val="28"/>
      <w:lang w:val="en-US"/>
    </w:rPr>
  </w:style>
  <w:style w:type="paragraph" w:styleId="Heading2">
    <w:name w:val="heading 2"/>
    <w:basedOn w:val="Normal"/>
    <w:next w:val="Normal"/>
    <w:link w:val="Heading2Char"/>
    <w:uiPriority w:val="9"/>
    <w:semiHidden/>
    <w:unhideWhenUsed/>
    <w:qFormat/>
    <w:rsid w:val="003E22D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E22D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E22D0"/>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3E22D0"/>
    <w:rPr>
      <w:rFonts w:asciiTheme="majorHAnsi" w:eastAsiaTheme="majorEastAsia" w:hAnsiTheme="majorHAnsi" w:cstheme="majorBidi"/>
      <w:b/>
      <w:bCs/>
      <w:color w:val="5B9BD5" w:themeColor="accent1"/>
      <w:sz w:val="28"/>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3E22D0"/>
    <w:rPr>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3E22D0"/>
    <w:pPr>
      <w:spacing w:before="100" w:beforeAutospacing="1" w:after="100" w:afterAutospacing="1"/>
    </w:pPr>
    <w:rPr>
      <w:rFonts w:asciiTheme="minorHAnsi" w:hAnsiTheme="minorHAnsi"/>
      <w:sz w:val="24"/>
      <w:szCs w:val="24"/>
      <w:lang w:val="en-GB"/>
    </w:rPr>
  </w:style>
  <w:style w:type="paragraph" w:styleId="BodyText">
    <w:name w:val="Body Text"/>
    <w:basedOn w:val="Normal"/>
    <w:link w:val="BodyTextChar"/>
    <w:rsid w:val="003E22D0"/>
    <w:pPr>
      <w:spacing w:after="120"/>
    </w:pPr>
    <w:rPr>
      <w:rFonts w:eastAsia="Times New Roman" w:cs="Times New Roman"/>
      <w:sz w:val="24"/>
      <w:szCs w:val="24"/>
    </w:rPr>
  </w:style>
  <w:style w:type="character" w:customStyle="1" w:styleId="BodyTextChar">
    <w:name w:val="Body Text Char"/>
    <w:basedOn w:val="DefaultParagraphFont"/>
    <w:link w:val="BodyText"/>
    <w:rsid w:val="003E22D0"/>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E22D0"/>
  </w:style>
  <w:style w:type="paragraph" w:styleId="Header">
    <w:name w:val="header"/>
    <w:basedOn w:val="Normal"/>
    <w:link w:val="HeaderChar"/>
    <w:uiPriority w:val="99"/>
    <w:unhideWhenUsed/>
    <w:rsid w:val="003E22D0"/>
    <w:pPr>
      <w:tabs>
        <w:tab w:val="center" w:pos="4513"/>
        <w:tab w:val="right" w:pos="9026"/>
      </w:tabs>
    </w:pPr>
  </w:style>
  <w:style w:type="character" w:customStyle="1" w:styleId="HeaderChar">
    <w:name w:val="Header Char"/>
    <w:basedOn w:val="DefaultParagraphFont"/>
    <w:link w:val="Header"/>
    <w:uiPriority w:val="99"/>
    <w:rsid w:val="003E22D0"/>
    <w:rPr>
      <w:rFonts w:ascii="Times New Roman" w:hAnsi="Times New Roman"/>
      <w:sz w:val="28"/>
      <w:lang w:val="en-US"/>
    </w:rPr>
  </w:style>
  <w:style w:type="paragraph" w:styleId="Footer">
    <w:name w:val="footer"/>
    <w:basedOn w:val="Normal"/>
    <w:link w:val="FooterChar"/>
    <w:uiPriority w:val="99"/>
    <w:unhideWhenUsed/>
    <w:rsid w:val="003E22D0"/>
    <w:pPr>
      <w:tabs>
        <w:tab w:val="center" w:pos="4513"/>
        <w:tab w:val="right" w:pos="9026"/>
      </w:tabs>
    </w:pPr>
  </w:style>
  <w:style w:type="character" w:customStyle="1" w:styleId="FooterChar">
    <w:name w:val="Footer Char"/>
    <w:basedOn w:val="DefaultParagraphFont"/>
    <w:link w:val="Footer"/>
    <w:uiPriority w:val="99"/>
    <w:rsid w:val="003E22D0"/>
    <w:rPr>
      <w:rFonts w:ascii="Times New Roman" w:hAnsi="Times New Roman"/>
      <w:sz w:val="28"/>
      <w:lang w:val="en-US"/>
    </w:rPr>
  </w:style>
  <w:style w:type="paragraph" w:styleId="BalloonText">
    <w:name w:val="Balloon Text"/>
    <w:basedOn w:val="Normal"/>
    <w:link w:val="BalloonTextChar"/>
    <w:uiPriority w:val="99"/>
    <w:semiHidden/>
    <w:unhideWhenUsed/>
    <w:rsid w:val="00A84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A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caidatwin21@outlook.com</cp:lastModifiedBy>
  <cp:revision>11</cp:revision>
  <cp:lastPrinted>2024-07-04T01:24:00Z</cp:lastPrinted>
  <dcterms:created xsi:type="dcterms:W3CDTF">2023-10-18T09:32:00Z</dcterms:created>
  <dcterms:modified xsi:type="dcterms:W3CDTF">2024-07-04T04:19:00Z</dcterms:modified>
</cp:coreProperties>
</file>