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2C" w:rsidRDefault="00D43E32">
      <w:pPr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   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i/>
          <w:sz w:val="26"/>
          <w:szCs w:val="26"/>
        </w:rPr>
        <w:t>Bi</w:t>
      </w:r>
      <w:r>
        <w:rPr>
          <w:rFonts w:ascii="Times New Roman" w:hAnsi="Times New Roman" w:cs="Times New Roman"/>
          <w:b/>
          <w:i/>
          <w:sz w:val="26"/>
          <w:szCs w:val="26"/>
        </w:rPr>
        <w:t>ể</w:t>
      </w:r>
      <w:r>
        <w:rPr>
          <w:rFonts w:ascii="Times New Roman" w:hAnsi="Times New Roman" w:cs="Times New Roman"/>
          <w:b/>
          <w:i/>
          <w:sz w:val="26"/>
          <w:szCs w:val="26"/>
        </w:rPr>
        <w:t>u m</w:t>
      </w:r>
      <w:r>
        <w:rPr>
          <w:rFonts w:ascii="Times New Roman" w:hAnsi="Times New Roman" w:cs="Times New Roman"/>
          <w:b/>
          <w:i/>
          <w:sz w:val="26"/>
          <w:szCs w:val="26"/>
        </w:rPr>
        <w:t>ẫ</w:t>
      </w:r>
      <w:r>
        <w:rPr>
          <w:rFonts w:ascii="Times New Roman" w:hAnsi="Times New Roman" w:cs="Times New Roman"/>
          <w:b/>
          <w:i/>
          <w:sz w:val="26"/>
          <w:szCs w:val="26"/>
        </w:rPr>
        <w:t>u 02/RS-KSTT</w:t>
      </w:r>
    </w:p>
    <w:p w:rsidR="00E2762C" w:rsidRDefault="00E2762C">
      <w:pPr>
        <w:spacing w:before="120" w:after="12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</w:p>
    <w:p w:rsidR="00E2762C" w:rsidRDefault="00D43E32">
      <w:pPr>
        <w:spacing w:before="120" w:after="12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BI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Ể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U RÀ SOÁT, ĐÁNH GIÁ TH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Ủ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T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Ụ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C HÀNH CHÍNH</w:t>
      </w:r>
    </w:p>
    <w:p w:rsidR="00E2762C" w:rsidRDefault="00E2762C">
      <w:pPr>
        <w:spacing w:before="120" w:after="12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</w:p>
    <w:tbl>
      <w:tblPr>
        <w:tblW w:w="511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977"/>
        <w:gridCol w:w="836"/>
        <w:gridCol w:w="8727"/>
      </w:tblGrid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I. THÔNG TIN CHUNG</w:t>
            </w:r>
          </w:p>
        </w:tc>
      </w:tr>
      <w:tr w:rsidR="00E2762C"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1.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Tên TTHC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(+ Mã s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ồ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sơ trên CSDLQG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TTHC)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Quyết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định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ử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lý tài 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ả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 ph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ụ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ụ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ạ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 đ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ộ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 c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ủ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 d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án khi d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án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k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thúc (thu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ộ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 th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ẩ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 quy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 Ch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ủ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ch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Ủ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y ban nhân dân 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ỉ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nh)</w:t>
            </w:r>
          </w:p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Mã s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h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ồ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sơ trên CSDLQG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1.005432.000.00.00.H53</w:t>
            </w:r>
          </w:p>
        </w:tc>
      </w:tr>
      <w:tr w:rsidR="00E2762C"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2. Lĩnh v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Qu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n lý công s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n</w:t>
            </w:r>
          </w:p>
        </w:tc>
      </w:tr>
      <w:tr w:rsidR="00E2762C"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3. Văn b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 quy đ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nh v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TTHC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- Lu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t Qu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n lý, s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 xml:space="preserve"> d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ng tài s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n công s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 xml:space="preserve"> 15/2017/QH14;</w:t>
            </w:r>
          </w:p>
          <w:p w:rsidR="00E2762C" w:rsidRDefault="00D43E32">
            <w:pPr>
              <w:tabs>
                <w:tab w:val="left" w:pos="216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- Ngh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 xml:space="preserve">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nh s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 xml:space="preserve"> 151/2017/NĐ-CP ngày 26/12/2018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a Chính ph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hr-HR"/>
              </w:rPr>
              <w:t>.</w:t>
            </w:r>
          </w:p>
        </w:tc>
      </w:tr>
      <w:tr w:rsidR="00E2762C"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4. Cơ quan, đơn v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th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hi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 rà soát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ở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Tài chính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II. RÀ SOÁT, ĐÁNH GIÁ S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C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 THI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T C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A TH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T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HÀNH CHÍNH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1. M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tiêu c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th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ể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c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a TTHC là gì?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a)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ớ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qu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lý nhà nư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ớ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c:</w:t>
            </w:r>
          </w:p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 tiêu a.1: 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Qu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ả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n lý tài s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ả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n c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ủ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a d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ự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 xml:space="preserve"> án s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ử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 xml:space="preserve"> d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ụ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ng v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ố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n nhà nư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ớ</w:t>
            </w:r>
            <w:r>
              <w:rPr>
                <w:rFonts w:ascii="Times New Roman" w:hAnsi="Times New Roman" w:cs="Times New Roman"/>
                <w:sz w:val="26"/>
                <w:szCs w:val="26"/>
                <w:lang w:val="hr-HR"/>
              </w:rPr>
              <w:t>c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 tiêu a.n: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b)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ớ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quy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n, nghĩa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và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ích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pháp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 cá nhân, t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ổ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ch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ứ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c: </w:t>
            </w:r>
          </w:p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Muc tiêu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b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.1: 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Quy đ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ị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nh c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ụ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 xml:space="preserve"> th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ể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 xml:space="preserve"> trình t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ự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, th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ủ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 xml:space="preserve"> t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ụ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c x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ử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 xml:space="preserve"> lý tài s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ả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n sau khi d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ự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 xml:space="preserve"> án k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ế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 xml:space="preserve">t 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  <w:lang w:val="nl-NL"/>
              </w:rPr>
              <w:t>thúc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Muc tiêu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b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.n: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……………………………………………………………………………..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2. Trong quá trình th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hi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 m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tiêu c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a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TTHC có s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ự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thay đ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ổ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 ho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ặ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không đư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c đáp 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lastRenderedPageBreak/>
              <w:t>ứ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a) Có thay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ổ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hay không?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 tiêu a.1: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-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tiêu a.n: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tiêu b.1: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tiêu b.n: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b) Có đư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 đáp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ứ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 hay không?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 tiêu a.1: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 tiêu a.n: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tiêu b.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 tiêu b.n: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lastRenderedPageBreak/>
              <w:t>3. Bi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 pháp nào có th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ể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đư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áp d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ng khi m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tiêu c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a TTHC thay đ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ổ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 ho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ặ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không đư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c đáp 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ứ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a) Duy trì TTHC: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b) Bãi b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ỏ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TTHC: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</w:t>
            </w:r>
          </w:p>
          <w:p w:rsidR="00E2762C" w:rsidRDefault="00D43E32">
            <w:pPr>
              <w:tabs>
                <w:tab w:val="left" w:pos="2240"/>
              </w:tabs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c) Thay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TTHC: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</w:p>
          <w:p w:rsidR="00E2762C" w:rsidRDefault="00D43E32">
            <w:pPr>
              <w:tabs>
                <w:tab w:val="left" w:pos="2240"/>
              </w:tabs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d) S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ổ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i, b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ổ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sung TTHC: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Chu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ẩ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n hóa </w:t>
            </w:r>
            <w:r>
              <w:rPr>
                <w:rFonts w:ascii="Times New Roman" w:hAnsi="Times New Roman"/>
                <w:sz w:val="26"/>
                <w:szCs w:val="26"/>
              </w:rPr>
              <w:t>m</w:t>
            </w:r>
            <w:r>
              <w:rPr>
                <w:rFonts w:ascii="Times New Roman" w:hAnsi="Times New Roman"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u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Biên 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ả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 ki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 kê tài 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ả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dùng chung </w:t>
            </w:r>
            <w:r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cho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các Ban Qu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ả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 lý 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án, cơ quan ch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qu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ả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 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án khi 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ngh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xử lý tài sản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Lý do: 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T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ạ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o đi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ề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u ki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ệ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n thu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ậ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n l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ợ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i cho t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ổ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ch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ứ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c, đơn v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ị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khi th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ự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c hi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ệ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n TTHC.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e) Áp d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 bi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pháp khác (không ph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TTHC):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lastRenderedPageBreak/>
              <w:t>4. Bi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 pháp đư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l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ự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a ch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ọ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 có d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ẫ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 đ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 s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thay đ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ổ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 đ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ố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 v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ớ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 các TTHC khác có liên quan?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  <w:t xml:space="preserve">        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CÓ,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ớ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TTHC 1: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(i) 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ộ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dung thay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ổ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……………………………………………………….………………………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ớ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TTHC n: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(i) 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ộ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dung thay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ổ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………………………………………………………………………………..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III. RÀ SOÁT, ĐÁNH GIÁ S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C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 THI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T, TÍNH 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P LÝ, TÍNH 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P PHÁP C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A CÁC B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Ộ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PH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Ậ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 C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Ấ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U THÀNH TTHC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1. Tên th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t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hành chính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Có đư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rõ ràng,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 nh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t và phù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bookmarkStart w:id="1" w:name="Check3"/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bookmarkEnd w:id="1"/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 Không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            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………………………………..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2. Trình t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th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hi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a) Có đư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 rõ ràng và phù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Không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           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………………………………..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b) Có đư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ể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các bư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ớ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c, 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ộ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dung công vi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c, trách nhi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m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hi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 t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ừ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 bư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ớ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Có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Không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………………………………..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lastRenderedPageBreak/>
              <w:t>3. Cách th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ứ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th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hi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Có đư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 rõ ràng và phù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ớ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tư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hi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n, cơ quan gi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quy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t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hành chính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Không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4. 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ồ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sơ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a) Có đư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rõ ràng,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ể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tên, quy cách, s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 t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ừ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 thành ph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ồ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sơ; 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ộ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dung thông tin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 t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ừ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 thành ph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ồ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sơ có ph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cho xem xét,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quy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t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hành chính; đã lo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ạ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ừ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ồ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sơ trùng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ặ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ho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ặ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đã đư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lưu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ữ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 k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t 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i, chia s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ẻ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thông tin gi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ữ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 các cơ quan hay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Không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b) Có đư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rõ ràng và phù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s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Không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5. Th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 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ạ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gi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 quy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t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Có đư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rõ ràng,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ể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và phù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Không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</w:t>
            </w:r>
          </w:p>
          <w:p w:rsidR="00E2762C" w:rsidRDefault="00D43E32">
            <w:pPr>
              <w:spacing w:before="120" w:after="120"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(i)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H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ồ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sơ quy đ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ị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n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h t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ạ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b kho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n 1 Đi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u 93 Ngh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nh 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151/2017/NĐ-CP ngày 26/12/2017 c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a Chính ph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quy đ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ị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nh chi ti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ế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t m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ộ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t s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ố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đi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ề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u c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ủ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a Lu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ậ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t Qu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ả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n lý, s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ử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d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ụ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ng tài s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ả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n công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chưa quy đ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ị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nh c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ụ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th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ể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bi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ể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u m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ẫ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u.</w:t>
            </w:r>
          </w:p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</w:t>
            </w:r>
            <w:r>
              <w:rPr>
                <w:rFonts w:ascii="Times New Roman" w:eastAsia="SimSun" w:hAnsi="Times New Roman" w:cs="Times New Roman"/>
                <w:color w:val="auto"/>
                <w:sz w:val="26"/>
                <w:szCs w:val="26"/>
              </w:rPr>
              <w:t>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Trong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ộ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t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hành chính do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cơ quan có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ẩ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m quy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gi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quy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t, đã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rõ ràng,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ạ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gi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quy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t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 t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ừ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 cơ quan và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ạ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chuy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ể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giao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ồ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sơ gi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ữ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 các cơ quan?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6. Cơ quan gi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 quy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t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a) Có đư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rõ ràng,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ể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  <w:t xml:space="preserve">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b) Có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ể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y quy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ho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ặ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phân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hi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(i) Lý do: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CÓ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7. Đ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 tư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ng th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hi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a) Có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ể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ở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ộ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ng/thu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ẹ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tư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tuân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  <w:t xml:space="preserve">        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CÓ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b) Có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ể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ở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ộ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ng/thu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ẹ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ph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ạ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m vi áp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d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ụ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CÓ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lastRenderedPageBreak/>
              <w:t>8. Phí, l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phí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a) TTHC có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phí,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phí và các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chi phí khác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Phí: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  <w:t xml:space="preserve">        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phí: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  <w:t xml:space="preserve">        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Chi phí khác: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b)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phí và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ứ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phí có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lý,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pháp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phí: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ứ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phí: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………………………………..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c)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phí và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ứ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phí có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lý,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pháp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phí: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ứ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phí: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………………………………..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d)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chi phí khác có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lý,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pháp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chi phí khác: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ứ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chi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phí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khác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……………………..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đ) Cách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ứ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ộ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phí,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phí có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lý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lastRenderedPageBreak/>
              <w:t>9. M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ẫ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u đơn, t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khai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Có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m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ẫ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đơn, t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khai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(i)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…………………………………………………………………………………….</w:t>
            </w:r>
          </w:p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</w:t>
            </w:r>
            <w:r>
              <w:rPr>
                <w:rFonts w:ascii="Times New Roman" w:eastAsia="SimSun" w:hAnsi="Times New Roman" w:cs="Times New Roman"/>
                <w:color w:val="auto"/>
                <w:sz w:val="26"/>
                <w:szCs w:val="26"/>
              </w:rPr>
              <w:t>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………………………………………….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M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  <w:lang w:val="en-US"/>
              </w:rPr>
              <w:t>ẫ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u đơn, t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 xml:space="preserve"> khai 1: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a) 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ộ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dung thông tin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thi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t: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;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p lý: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;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p pháp: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 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ộ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dung n: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…………………………………………………………………………...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thi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t: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;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p lý: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;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p pháp: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b) Yêu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xác 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có)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thi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t: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;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p lý: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;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p pháp: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u KHÔNG, nêu rõ: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…………………………………………………………………..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c) Ngôn ng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ữ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thi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t: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;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p lý: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;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p pháp: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u KHÔNG, nêu rõ: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…………………………………………………………………..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lastRenderedPageBreak/>
              <w:t>M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  <w:lang w:val="en-US"/>
              </w:rPr>
              <w:t>ẫ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u đơn, t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 xml:space="preserve"> khai n: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………………………………………………………………………………………..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10. Yêu c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u, đi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u ki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TTHC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này có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yêu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u, đi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ki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Yêu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u, đi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ki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1:</w:t>
            </w:r>
          </w:p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…………………….</w:t>
            </w:r>
          </w:p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…………………….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p lý,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p pháp không?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Yêu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u, đi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u ki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n n:</w:t>
            </w:r>
          </w:p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</w:t>
            </w:r>
          </w:p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…………………….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p lý,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p pháp không?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11. K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t qu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th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 hi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a)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Có đư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v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ạ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có hi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không?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b)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ạ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có giá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hi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có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lý,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pháp kh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ô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p lý: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;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p pháp: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</w:t>
            </w:r>
          </w:p>
        </w:tc>
      </w:tr>
      <w:tr w:rsidR="00E2762C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c) 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ph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ạ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m vi có giá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hi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ự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 có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lý, 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 pháp kh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ô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ng?</w:t>
            </w:r>
          </w:p>
        </w:tc>
        <w:tc>
          <w:tcPr>
            <w:tcW w:w="3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p lý: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;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p pháp: Có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Không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(i) Lý do: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……………………………………………………………………………..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(ii) Phương án x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lý (N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 câu tr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i là KHÔNG):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12. Văn b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 c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  <w:t>ầ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n s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a đ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ổ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i, b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ổ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sung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(Đ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ngh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nêu rõ tên lo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ạ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i; s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 ký hi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u; ngày, tháng, năm; đi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u, kho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n, đi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ể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m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quy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nh)</w:t>
            </w:r>
          </w:p>
        </w:tc>
      </w:tr>
      <w:tr w:rsidR="00E2762C">
        <w:tc>
          <w:tcPr>
            <w:tcW w:w="1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a) Lu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ậ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t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3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</w:tc>
      </w:tr>
      <w:tr w:rsidR="00E2762C">
        <w:tc>
          <w:tcPr>
            <w:tcW w:w="1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b) Pháp l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nh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3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</w:tc>
      </w:tr>
      <w:tr w:rsidR="00E2762C">
        <w:tc>
          <w:tcPr>
            <w:tcW w:w="1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c) Ngh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nh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3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ử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a 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ổ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i, b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ổ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sung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đi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m b kho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n 1 Đi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u 93 Ngh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nh 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151/2017/NĐ-CP ngày 26/12/2017 c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a Chính ph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pt-BR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quy đ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ị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nh chi ti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ế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t m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ộ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t s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ố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đi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ề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u c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ủ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a Lu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ậ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t Qu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ả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n lý, s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ử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d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ụ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ng tài s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ả</w:t>
            </w:r>
            <w:r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n công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</w:tr>
      <w:tr w:rsidR="00E2762C">
        <w:tc>
          <w:tcPr>
            <w:tcW w:w="1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d) Quy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t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a TTCP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3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</w:tc>
      </w:tr>
      <w:tr w:rsidR="00E2762C">
        <w:tc>
          <w:tcPr>
            <w:tcW w:w="1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đ) Thông tư/ Thông tư liên t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ch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3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hd w:val="clear" w:color="auto" w:fill="FFFFFF"/>
              <w:spacing w:before="120" w:after="120"/>
              <w:ind w:left="9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</w:t>
            </w:r>
          </w:p>
        </w:tc>
      </w:tr>
      <w:tr w:rsidR="00E2762C">
        <w:tc>
          <w:tcPr>
            <w:tcW w:w="1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e) Quy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ế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t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ủ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a B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ộ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trư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ở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ng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3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</w:tc>
      </w:tr>
      <w:tr w:rsidR="00E2762C">
        <w:tc>
          <w:tcPr>
            <w:tcW w:w="1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g) Văn b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ả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n khác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separate"/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3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……………………………………………………………………………….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IV. THÔNG TIN LIÊN H</w:t>
            </w: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Ệ</w:t>
            </w:r>
          </w:p>
        </w:tc>
      </w:tr>
      <w:tr w:rsidR="00E2762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ọ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và tên ngư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ờ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đi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ề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n: Vũ Th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Thu Nga - Phòng QL.GCS - S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ở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Tài chính</w:t>
            </w:r>
          </w:p>
          <w:p w:rsidR="00E2762C" w:rsidRDefault="00D43E32">
            <w:pPr>
              <w:spacing w:before="120" w:after="12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Đi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ệ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 tho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ạ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 c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đ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ị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nh: 0276.3825118;     Email: ngavtt@tayninh.gov.vn</w:t>
            </w:r>
          </w:p>
        </w:tc>
      </w:tr>
    </w:tbl>
    <w:p w:rsidR="00E2762C" w:rsidRDefault="00E2762C">
      <w:pPr>
        <w:spacing w:before="120" w:after="120"/>
        <w:rPr>
          <w:rFonts w:ascii="Times New Roman" w:hAnsi="Times New Roman" w:cs="Times New Roman"/>
          <w:color w:val="auto"/>
          <w:sz w:val="26"/>
          <w:szCs w:val="26"/>
          <w:lang w:val="en-US"/>
        </w:rPr>
        <w:sectPr w:rsidR="00E2762C">
          <w:footerReference w:type="default" r:id="rId6"/>
          <w:pgSz w:w="15840" w:h="12240" w:orient="landscape"/>
          <w:pgMar w:top="993" w:right="1440" w:bottom="709" w:left="1440" w:header="0" w:footer="0" w:gutter="0"/>
          <w:cols w:space="720"/>
          <w:docGrid w:linePitch="360"/>
        </w:sectPr>
      </w:pPr>
    </w:p>
    <w:p w:rsidR="00E2762C" w:rsidRDefault="00E2762C">
      <w:pPr>
        <w:spacing w:before="120" w:after="120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sectPr w:rsidR="00E276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E32" w:rsidRDefault="00D43E32">
      <w:r>
        <w:separator/>
      </w:r>
    </w:p>
  </w:endnote>
  <w:endnote w:type="continuationSeparator" w:id="0">
    <w:p w:rsidR="00D43E32" w:rsidRDefault="00D4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 Condensed">
    <w:altName w:val="SimSun"/>
    <w:charset w:val="86"/>
    <w:family w:val="swiss"/>
    <w:pitch w:val="default"/>
    <w:sig w:usb0="00000000" w:usb1="00000000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6591287"/>
    </w:sdtPr>
    <w:sdtEndPr/>
    <w:sdtContent>
      <w:p w:rsidR="00E2762C" w:rsidRDefault="00D43E32">
        <w:pPr>
          <w:pStyle w:val="Footer"/>
          <w:jc w:val="right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 w:rsidR="00E65B77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E2762C" w:rsidRDefault="00E276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E32" w:rsidRDefault="00D43E32">
      <w:r>
        <w:separator/>
      </w:r>
    </w:p>
  </w:footnote>
  <w:footnote w:type="continuationSeparator" w:id="0">
    <w:p w:rsidR="00D43E32" w:rsidRDefault="00D43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42A"/>
    <w:rsid w:val="00023239"/>
    <w:rsid w:val="000557B4"/>
    <w:rsid w:val="000642A7"/>
    <w:rsid w:val="00082E9C"/>
    <w:rsid w:val="00084181"/>
    <w:rsid w:val="000A3F8B"/>
    <w:rsid w:val="0010544F"/>
    <w:rsid w:val="001235F3"/>
    <w:rsid w:val="001368F8"/>
    <w:rsid w:val="00154701"/>
    <w:rsid w:val="001B3F22"/>
    <w:rsid w:val="001B43FA"/>
    <w:rsid w:val="001B56C0"/>
    <w:rsid w:val="00223D08"/>
    <w:rsid w:val="002D3DF8"/>
    <w:rsid w:val="00325BE7"/>
    <w:rsid w:val="00353509"/>
    <w:rsid w:val="003A1938"/>
    <w:rsid w:val="003A7A36"/>
    <w:rsid w:val="003B25A4"/>
    <w:rsid w:val="003D7E79"/>
    <w:rsid w:val="0041505D"/>
    <w:rsid w:val="0041634E"/>
    <w:rsid w:val="004306FF"/>
    <w:rsid w:val="0043459E"/>
    <w:rsid w:val="004608C0"/>
    <w:rsid w:val="00461B11"/>
    <w:rsid w:val="0046625B"/>
    <w:rsid w:val="004A12E7"/>
    <w:rsid w:val="004C6749"/>
    <w:rsid w:val="004D2A3F"/>
    <w:rsid w:val="004D4E8A"/>
    <w:rsid w:val="00523FB5"/>
    <w:rsid w:val="00526F2F"/>
    <w:rsid w:val="005548A8"/>
    <w:rsid w:val="005C2E2D"/>
    <w:rsid w:val="00617A5A"/>
    <w:rsid w:val="0062140D"/>
    <w:rsid w:val="006A3348"/>
    <w:rsid w:val="006D785F"/>
    <w:rsid w:val="006F40CC"/>
    <w:rsid w:val="00713725"/>
    <w:rsid w:val="00730592"/>
    <w:rsid w:val="007530E2"/>
    <w:rsid w:val="0075639E"/>
    <w:rsid w:val="00765C5D"/>
    <w:rsid w:val="00782039"/>
    <w:rsid w:val="008025B6"/>
    <w:rsid w:val="00853560"/>
    <w:rsid w:val="00892A72"/>
    <w:rsid w:val="00894AA2"/>
    <w:rsid w:val="008B4774"/>
    <w:rsid w:val="008C40CC"/>
    <w:rsid w:val="008D60B0"/>
    <w:rsid w:val="00990510"/>
    <w:rsid w:val="009D7F88"/>
    <w:rsid w:val="009E4FA0"/>
    <w:rsid w:val="009F0542"/>
    <w:rsid w:val="009F0ACA"/>
    <w:rsid w:val="00A023E8"/>
    <w:rsid w:val="00A039C3"/>
    <w:rsid w:val="00A42036"/>
    <w:rsid w:val="00A427B3"/>
    <w:rsid w:val="00A46CCA"/>
    <w:rsid w:val="00AC2CB3"/>
    <w:rsid w:val="00AD063B"/>
    <w:rsid w:val="00AD5065"/>
    <w:rsid w:val="00AF3E86"/>
    <w:rsid w:val="00B314CF"/>
    <w:rsid w:val="00BA088A"/>
    <w:rsid w:val="00BA7739"/>
    <w:rsid w:val="00BC632A"/>
    <w:rsid w:val="00C64CAF"/>
    <w:rsid w:val="00CE7F18"/>
    <w:rsid w:val="00D0425B"/>
    <w:rsid w:val="00D31394"/>
    <w:rsid w:val="00D43E32"/>
    <w:rsid w:val="00D9159D"/>
    <w:rsid w:val="00DA686A"/>
    <w:rsid w:val="00DC4EB9"/>
    <w:rsid w:val="00E03D43"/>
    <w:rsid w:val="00E12D26"/>
    <w:rsid w:val="00E2762C"/>
    <w:rsid w:val="00E31594"/>
    <w:rsid w:val="00E31AB1"/>
    <w:rsid w:val="00E559F1"/>
    <w:rsid w:val="00E65B77"/>
    <w:rsid w:val="00E8059E"/>
    <w:rsid w:val="00E9015E"/>
    <w:rsid w:val="00EA242A"/>
    <w:rsid w:val="00ED469F"/>
    <w:rsid w:val="00F11491"/>
    <w:rsid w:val="00F12C14"/>
    <w:rsid w:val="00F13EAA"/>
    <w:rsid w:val="00F24AC0"/>
    <w:rsid w:val="00F25572"/>
    <w:rsid w:val="00F60B03"/>
    <w:rsid w:val="00FE5F3F"/>
    <w:rsid w:val="00FF1B30"/>
    <w:rsid w:val="0598487D"/>
    <w:rsid w:val="0FB03F25"/>
    <w:rsid w:val="46626485"/>
    <w:rsid w:val="5681026D"/>
    <w:rsid w:val="57922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3C19E5-327F-46EB-BC3F-97BA9C5D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DejaVu Sans Condensed" w:eastAsia="DejaVu Sans Condensed" w:hAnsi="DejaVu Sans Condensed" w:cs="DejaVu Sans Condensed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pPr>
      <w:widowControl/>
      <w:ind w:firstLine="1134"/>
      <w:jc w:val="both"/>
    </w:pPr>
    <w:rPr>
      <w:rFonts w:ascii="VNI-Times" w:eastAsiaTheme="minorHAnsi" w:hAnsi="VNI-Times" w:cs="Times New Roman"/>
      <w:iCs/>
      <w:color w:val="auto"/>
      <w:sz w:val="2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semiHidden/>
    <w:unhideWhenUsed/>
    <w:qFormat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paragraph" w:customStyle="1" w:styleId="DefaultParagraphFontParaCharCharCharCharChar">
    <w:name w:val="Default Paragraph Font Para Char Char Char Char Char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rFonts w:ascii="DejaVu Sans Condensed" w:eastAsia="DejaVu Sans Condensed" w:hAnsi="DejaVu Sans Condensed" w:cs="DejaVu Sans Condensed"/>
      <w:color w:val="000000"/>
      <w:sz w:val="24"/>
      <w:lang w:val="vi-VN" w:eastAsia="vi-VN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DejaVu Sans Condensed" w:eastAsia="DejaVu Sans Condensed" w:hAnsi="DejaVu Sans Condensed" w:cs="DejaVu Sans Condensed"/>
      <w:color w:val="000000"/>
      <w:sz w:val="24"/>
      <w:lang w:val="vi-VN" w:eastAsia="vi-VN"/>
    </w:rPr>
  </w:style>
  <w:style w:type="character" w:customStyle="1" w:styleId="BodyTextIndent2Char">
    <w:name w:val="Body Text Indent 2 Char"/>
    <w:basedOn w:val="DefaultParagraphFont"/>
    <w:link w:val="BodyTextIndent2"/>
    <w:qFormat/>
    <w:locked/>
    <w:rPr>
      <w:rFonts w:ascii="VNI-Times" w:hAnsi="VNI-Times"/>
      <w:sz w:val="26"/>
    </w:rPr>
  </w:style>
  <w:style w:type="character" w:customStyle="1" w:styleId="BodyTextIndent2Char1">
    <w:name w:val="Body Text Indent 2 Char1"/>
    <w:basedOn w:val="DefaultParagraphFont"/>
    <w:uiPriority w:val="99"/>
    <w:semiHidden/>
    <w:qFormat/>
    <w:rPr>
      <w:rFonts w:ascii="DejaVu Sans Condensed" w:eastAsia="DejaVu Sans Condensed" w:hAnsi="DejaVu Sans Condensed" w:cs="DejaVu Sans Condensed"/>
      <w:color w:val="000000"/>
      <w:sz w:val="24"/>
      <w:lang w:val="vi-VN" w:eastAsia="vi-V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eastAsia="DejaVu Sans Condensed" w:hAnsi="Segoe UI" w:cs="Segoe UI"/>
      <w:color w:val="000000"/>
      <w:sz w:val="18"/>
      <w:szCs w:val="18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1834</Words>
  <Characters>10456</Characters>
  <Application>Microsoft Office Word</Application>
  <DocSecurity>0</DocSecurity>
  <Lines>87</Lines>
  <Paragraphs>24</Paragraphs>
  <ScaleCrop>false</ScaleCrop>
  <Company>Blog Windows 10</Company>
  <LinksUpToDate>false</LinksUpToDate>
  <CharactersWithSpaces>12266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Thi Thuy</dc:creator>
  <cp:lastModifiedBy>Lê Anh Phong</cp:lastModifiedBy>
  <cp:revision>2</cp:revision>
  <cp:lastPrinted>2022-09-09T03:57:00Z</cp:lastPrinted>
  <dcterms:created xsi:type="dcterms:W3CDTF">2022-09-28T01:56:00Z</dcterms:created>
  <dcterms:modified xsi:type="dcterms:W3CDTF">2022-09-28T01:56:00Z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1033-11.2.0.11306</vt:lpwstr>
  </property>
  <property fmtid="{D5CDD505-2E9C-101B-9397-08002B2CF9AE}" pid="3" name="ICV">
    <vt:lpwstr>118F366914C049959B12B982560E3909</vt:lpwstr>
  </property>
</Properties>
</file>